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A70F" w14:textId="77777777" w:rsidR="00821D26" w:rsidRDefault="00821D26" w:rsidP="00821D26">
      <w:pPr>
        <w:pStyle w:val="sartttl"/>
        <w:jc w:val="both"/>
        <w:rPr>
          <w:shd w:val="clear" w:color="auto" w:fill="FFFFFF"/>
        </w:rPr>
      </w:pPr>
      <w:r>
        <w:rPr>
          <w:shd w:val="clear" w:color="auto" w:fill="FFFFFF"/>
        </w:rPr>
        <w:t>Articolul 61</w:t>
      </w:r>
    </w:p>
    <w:p w14:paraId="72B2D2AC" w14:textId="77777777" w:rsidR="00821D26" w:rsidRPr="00BB6F89" w:rsidRDefault="00821D26" w:rsidP="00821D26">
      <w:pPr>
        <w:pStyle w:val="sartden"/>
        <w:ind w:left="225"/>
        <w:jc w:val="both"/>
        <w:rPr>
          <w:rStyle w:val="spar3"/>
          <w:b w:val="0"/>
          <w:bCs w:val="0"/>
          <w:highlight w:val="yellow"/>
        </w:rPr>
      </w:pPr>
      <w:r w:rsidRPr="00BB6F89">
        <w:rPr>
          <w:rStyle w:val="spar3"/>
          <w:b w:val="0"/>
          <w:bCs w:val="0"/>
          <w:highlight w:val="yellow"/>
          <w:specVanish w:val="0"/>
        </w:rPr>
        <w:t>Cenzorul/Comisia de cenzori a asociaţiei de proprietari are, în principal, următoarele atribuţii:</w:t>
      </w:r>
    </w:p>
    <w:p w14:paraId="514903CC" w14:textId="77777777" w:rsidR="00821D26" w:rsidRPr="00BB6F89" w:rsidRDefault="00821D26" w:rsidP="00821D26">
      <w:pPr>
        <w:autoSpaceDE/>
        <w:autoSpaceDN/>
        <w:ind w:left="225"/>
        <w:jc w:val="both"/>
        <w:rPr>
          <w:rFonts w:eastAsia="Times New Roman"/>
          <w:highlight w:val="yellow"/>
        </w:rPr>
      </w:pPr>
      <w:r w:rsidRPr="00BB6F89">
        <w:rPr>
          <w:rStyle w:val="slitttl1"/>
          <w:rFonts w:eastAsia="Times New Roman"/>
          <w:highlight w:val="yellow"/>
          <w:specVanish w:val="0"/>
        </w:rPr>
        <w:t>a)</w:t>
      </w:r>
      <w:r w:rsidRPr="00BB6F89">
        <w:rPr>
          <w:rStyle w:val="slitbdy"/>
          <w:rFonts w:eastAsia="Times New Roman"/>
          <w:highlight w:val="yellow"/>
        </w:rPr>
        <w:t>urmăreşte aplicarea prevederilor prezentei legi de către organele de conducere ale asociaţiei de proprietari;</w:t>
      </w:r>
    </w:p>
    <w:p w14:paraId="792397ED" w14:textId="77777777" w:rsidR="00821D26" w:rsidRPr="00BB6F89" w:rsidRDefault="00821D26" w:rsidP="00821D26">
      <w:pPr>
        <w:autoSpaceDE/>
        <w:autoSpaceDN/>
        <w:ind w:left="225"/>
        <w:jc w:val="both"/>
        <w:rPr>
          <w:rFonts w:eastAsia="Times New Roman"/>
          <w:color w:val="000000"/>
          <w:sz w:val="20"/>
          <w:szCs w:val="20"/>
          <w:highlight w:val="yellow"/>
          <w:shd w:val="clear" w:color="auto" w:fill="FFFFFF"/>
        </w:rPr>
      </w:pPr>
      <w:r w:rsidRPr="00BB6F89">
        <w:rPr>
          <w:rStyle w:val="slitttl1"/>
          <w:rFonts w:eastAsia="Times New Roman"/>
          <w:highlight w:val="yellow"/>
          <w:specVanish w:val="0"/>
        </w:rPr>
        <w:t>b)</w:t>
      </w:r>
      <w:r w:rsidRPr="00BB6F89">
        <w:rPr>
          <w:rStyle w:val="slitbdy"/>
          <w:rFonts w:eastAsia="Times New Roman"/>
          <w:highlight w:val="yellow"/>
        </w:rPr>
        <w:t>verifică gestiunea financiar-contabilă;</w:t>
      </w:r>
    </w:p>
    <w:p w14:paraId="658851BC" w14:textId="77777777" w:rsidR="00821D26" w:rsidRPr="00BB6F89" w:rsidRDefault="00821D26" w:rsidP="00821D26">
      <w:pPr>
        <w:autoSpaceDE/>
        <w:autoSpaceDN/>
        <w:ind w:left="225"/>
        <w:jc w:val="both"/>
        <w:rPr>
          <w:rFonts w:eastAsia="Times New Roman"/>
          <w:color w:val="000000"/>
          <w:sz w:val="20"/>
          <w:szCs w:val="20"/>
          <w:highlight w:val="yellow"/>
          <w:shd w:val="clear" w:color="auto" w:fill="FFFFFF"/>
        </w:rPr>
      </w:pPr>
      <w:r w:rsidRPr="00BB6F89">
        <w:rPr>
          <w:rStyle w:val="slitttl1"/>
          <w:rFonts w:eastAsia="Times New Roman"/>
          <w:highlight w:val="yellow"/>
          <w:specVanish w:val="0"/>
        </w:rPr>
        <w:t>c)</w:t>
      </w:r>
      <w:r w:rsidRPr="00BB6F89">
        <w:rPr>
          <w:rStyle w:val="slitbdy"/>
          <w:rFonts w:eastAsia="Times New Roman"/>
          <w:highlight w:val="yellow"/>
        </w:rPr>
        <w:t>verifică lunar execuţia bugetului de venituri şi cheltuieli conform documentelor, registrelor şi situaţiei soldurilor elementelor de activ şi pasiv întocmite de către administrator;</w:t>
      </w:r>
    </w:p>
    <w:p w14:paraId="39B49634" w14:textId="77777777" w:rsidR="00821D26" w:rsidRPr="00BB6F89" w:rsidRDefault="00821D26" w:rsidP="00821D26">
      <w:pPr>
        <w:autoSpaceDE/>
        <w:autoSpaceDN/>
        <w:ind w:left="225"/>
        <w:jc w:val="both"/>
        <w:rPr>
          <w:rFonts w:eastAsia="Times New Roman"/>
          <w:color w:val="000000"/>
          <w:sz w:val="20"/>
          <w:szCs w:val="20"/>
          <w:highlight w:val="yellow"/>
          <w:shd w:val="clear" w:color="auto" w:fill="FFFFFF"/>
        </w:rPr>
      </w:pPr>
      <w:r w:rsidRPr="00BB6F89">
        <w:rPr>
          <w:rStyle w:val="slitttl1"/>
          <w:rFonts w:eastAsia="Times New Roman"/>
          <w:highlight w:val="yellow"/>
          <w:specVanish w:val="0"/>
        </w:rPr>
        <w:t>d)</w:t>
      </w:r>
      <w:r w:rsidRPr="00BB6F89">
        <w:rPr>
          <w:rStyle w:val="slitbdy"/>
          <w:rFonts w:eastAsia="Times New Roman"/>
          <w:highlight w:val="yellow"/>
        </w:rPr>
        <w:t>cel puţin o dată pe an întocmeşte şi prezintă adunării generale rapoarte asupra activităţii sale şi asupra gestiunii asociaţiei de proprietari, propunând măsuri;</w:t>
      </w:r>
    </w:p>
    <w:p w14:paraId="5FF31ADC" w14:textId="77777777" w:rsidR="00821D26" w:rsidRPr="00BB6F89" w:rsidRDefault="00821D26" w:rsidP="00821D26">
      <w:pPr>
        <w:autoSpaceDE/>
        <w:autoSpaceDN/>
        <w:ind w:left="225"/>
        <w:jc w:val="both"/>
        <w:rPr>
          <w:rFonts w:eastAsia="Times New Roman"/>
          <w:color w:val="000000"/>
          <w:sz w:val="20"/>
          <w:szCs w:val="20"/>
          <w:highlight w:val="yellow"/>
          <w:shd w:val="clear" w:color="auto" w:fill="FFFFFF"/>
        </w:rPr>
      </w:pPr>
      <w:r w:rsidRPr="00BB6F89">
        <w:rPr>
          <w:rStyle w:val="slitttl1"/>
          <w:rFonts w:eastAsia="Times New Roman"/>
          <w:highlight w:val="yellow"/>
          <w:specVanish w:val="0"/>
        </w:rPr>
        <w:t>e)</w:t>
      </w:r>
      <w:r w:rsidRPr="00BB6F89">
        <w:rPr>
          <w:rStyle w:val="slitbdy"/>
          <w:rFonts w:eastAsia="Times New Roman"/>
          <w:highlight w:val="yellow"/>
        </w:rPr>
        <w:t>execută controale inopinate, împreună cu 2 membri ai comitetului executiv pentru verificarea contabilităţii şi a activităţii de casierie, şi consemnează rezultatele controalelor în registrul unic de procese-verbale al asociaţiei de proprietari;</w:t>
      </w:r>
    </w:p>
    <w:p w14:paraId="0C5A5F30" w14:textId="77777777" w:rsidR="00821D26" w:rsidRDefault="00821D26" w:rsidP="00821D26">
      <w:pPr>
        <w:autoSpaceDE/>
        <w:autoSpaceDN/>
        <w:ind w:left="225"/>
        <w:jc w:val="both"/>
        <w:rPr>
          <w:rStyle w:val="slitbdy"/>
          <w:rFonts w:eastAsia="Times New Roman"/>
        </w:rPr>
      </w:pPr>
      <w:r w:rsidRPr="00BB6F89">
        <w:rPr>
          <w:rStyle w:val="slitttl1"/>
          <w:rFonts w:eastAsia="Times New Roman"/>
          <w:highlight w:val="yellow"/>
          <w:specVanish w:val="0"/>
        </w:rPr>
        <w:t>f)</w:t>
      </w:r>
      <w:r w:rsidRPr="00BB6F89">
        <w:rPr>
          <w:rStyle w:val="slitbdy"/>
          <w:rFonts w:eastAsia="Times New Roman"/>
          <w:highlight w:val="yellow"/>
        </w:rPr>
        <w:t>participă la adunările generale ale asociaţiei şi ale comitetului executiv, asigurând legalitatea desfăşurării acestora.</w:t>
      </w:r>
    </w:p>
    <w:p w14:paraId="0202722F" w14:textId="77777777" w:rsidR="00821D26" w:rsidRDefault="00821D26" w:rsidP="00821D26">
      <w:pPr>
        <w:autoSpaceDE/>
        <w:autoSpaceDN/>
        <w:ind w:left="225"/>
        <w:jc w:val="both"/>
        <w:rPr>
          <w:rFonts w:eastAsia="Times New Roman"/>
          <w:b/>
          <w:bCs/>
          <w:color w:val="000000"/>
          <w:sz w:val="20"/>
          <w:szCs w:val="20"/>
          <w:u w:val="single"/>
          <w:shd w:val="clear" w:color="auto" w:fill="FFFFFF"/>
        </w:rPr>
      </w:pPr>
    </w:p>
    <w:p w14:paraId="32E31BF7" w14:textId="77777777" w:rsidR="00821D26" w:rsidRDefault="00821D26" w:rsidP="00821D26">
      <w:pPr>
        <w:autoSpaceDE/>
        <w:autoSpaceDN/>
        <w:ind w:left="225"/>
        <w:jc w:val="both"/>
        <w:rPr>
          <w:rFonts w:eastAsia="Times New Roman"/>
          <w:b/>
          <w:bCs/>
          <w:color w:val="000000"/>
          <w:sz w:val="20"/>
          <w:szCs w:val="20"/>
          <w:u w:val="single"/>
          <w:shd w:val="clear" w:color="auto" w:fill="FFFFFF"/>
        </w:rPr>
      </w:pPr>
    </w:p>
    <w:p w14:paraId="4DB490A0" w14:textId="77777777" w:rsidR="00821D26" w:rsidRDefault="00821D26" w:rsidP="00821D26">
      <w:pPr>
        <w:pStyle w:val="sartttl"/>
        <w:jc w:val="both"/>
        <w:rPr>
          <w:shd w:val="clear" w:color="auto" w:fill="FFFFFF"/>
        </w:rPr>
      </w:pPr>
      <w:r>
        <w:rPr>
          <w:shd w:val="clear" w:color="auto" w:fill="FFFFFF"/>
        </w:rPr>
        <w:t>Articolul 62</w:t>
      </w:r>
    </w:p>
    <w:p w14:paraId="231D15F4" w14:textId="77777777" w:rsidR="00821D26" w:rsidRDefault="00821D26" w:rsidP="00821D26">
      <w:pPr>
        <w:pStyle w:val="sartden"/>
        <w:jc w:val="both"/>
        <w:rPr>
          <w:shd w:val="clear" w:color="auto" w:fill="FFFFFF"/>
        </w:rPr>
      </w:pPr>
      <w:r>
        <w:rPr>
          <w:rStyle w:val="spar3"/>
          <w:b w:val="0"/>
          <w:bCs w:val="0"/>
          <w:specVanish w:val="0"/>
        </w:rPr>
        <w:t xml:space="preserve">În vederea facilitării comunicării dintre autorităţile administraţiei publice locale şi asociaţiile de proprietari, preşedintele asociaţiei de proprietari este obligat să transmită, în termen de 30 de zile de la data modificării, compartimentelor prevăzute la </w:t>
      </w:r>
      <w:r>
        <w:rPr>
          <w:rStyle w:val="slgi1"/>
          <w:b w:val="0"/>
          <w:bCs w:val="0"/>
        </w:rPr>
        <w:t>art. 10</w:t>
      </w:r>
      <w:r>
        <w:rPr>
          <w:rStyle w:val="spar3"/>
          <w:b w:val="0"/>
          <w:bCs w:val="0"/>
          <w:specVanish w:val="0"/>
        </w:rPr>
        <w:t xml:space="preserve"> datele de contact actualizate privind preşedintele, membrii comitetului executiv, membrii comisiei de cenzori sau, după caz, cenzorul şi administratorul.</w:t>
      </w:r>
    </w:p>
    <w:p w14:paraId="7C028BB1" w14:textId="77777777" w:rsidR="00C11C11" w:rsidRDefault="00C11C11"/>
    <w:sectPr w:rsidR="00C11C11" w:rsidSect="00C374AF">
      <w:pgSz w:w="11906" w:h="16838" w:code="9"/>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26"/>
    <w:rsid w:val="00203CA3"/>
    <w:rsid w:val="00821D26"/>
    <w:rsid w:val="00C11C11"/>
    <w:rsid w:val="00C374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70C1"/>
  <w15:chartTrackingRefBased/>
  <w15:docId w15:val="{9E31C3E1-F887-46E8-9B9D-C4CEDB10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kern w:val="2"/>
        <w:sz w:val="24"/>
        <w:szCs w:val="22"/>
        <w:lang w:val="ro-RO"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D26"/>
    <w:pPr>
      <w:autoSpaceDE w:val="0"/>
      <w:autoSpaceDN w:val="0"/>
      <w:spacing w:line="240" w:lineRule="auto"/>
      <w:jc w:val="left"/>
    </w:pPr>
    <w:rPr>
      <w:rFonts w:ascii="Verdana" w:eastAsia="Verdana" w:hAnsi="Verdana" w:cs="Times New Roman"/>
      <w:kern w:val="0"/>
      <w:sz w:val="18"/>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artttl">
    <w:name w:val="s_art_ttl"/>
    <w:basedOn w:val="Normal"/>
    <w:rsid w:val="00821D26"/>
    <w:pPr>
      <w:autoSpaceDE/>
      <w:autoSpaceDN/>
    </w:pPr>
    <w:rPr>
      <w:rFonts w:eastAsiaTheme="minorEastAsia"/>
      <w:b/>
      <w:bCs/>
      <w:color w:val="24689B"/>
      <w:sz w:val="20"/>
      <w:szCs w:val="20"/>
    </w:rPr>
  </w:style>
  <w:style w:type="paragraph" w:customStyle="1" w:styleId="sartden">
    <w:name w:val="s_art_den"/>
    <w:basedOn w:val="Normal"/>
    <w:rsid w:val="00821D26"/>
    <w:pPr>
      <w:autoSpaceDE/>
      <w:autoSpaceDN/>
    </w:pPr>
    <w:rPr>
      <w:rFonts w:eastAsiaTheme="minorEastAsia"/>
      <w:b/>
      <w:bCs/>
      <w:color w:val="24689B"/>
      <w:sz w:val="20"/>
      <w:szCs w:val="20"/>
    </w:rPr>
  </w:style>
  <w:style w:type="character" w:customStyle="1" w:styleId="spar3">
    <w:name w:val="s_par3"/>
    <w:basedOn w:val="Fontdeparagrafimplicit"/>
    <w:rsid w:val="00821D26"/>
    <w:rPr>
      <w:rFonts w:ascii="Verdana" w:hAnsi="Verdana" w:hint="default"/>
      <w:b w:val="0"/>
      <w:bCs w:val="0"/>
      <w:vanish w:val="0"/>
      <w:webHidden w:val="0"/>
      <w:color w:val="000000"/>
      <w:sz w:val="20"/>
      <w:szCs w:val="20"/>
      <w:shd w:val="clear" w:color="auto" w:fill="FFFFFF"/>
      <w:specVanish w:val="0"/>
    </w:rPr>
  </w:style>
  <w:style w:type="character" w:customStyle="1" w:styleId="slitttl1">
    <w:name w:val="s_lit_ttl1"/>
    <w:basedOn w:val="Fontdeparagrafimplicit"/>
    <w:rsid w:val="00821D26"/>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821D26"/>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821D26"/>
    <w:rPr>
      <w:rFonts w:ascii="Verdana" w:hAnsi="Verdana" w:hint="default"/>
      <w:b w:val="0"/>
      <w:bCs w:val="0"/>
      <w:color w:val="006400"/>
      <w:sz w:val="20"/>
      <w:szCs w:val="20"/>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1213</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Marineata</dc:creator>
  <cp:keywords/>
  <dc:description/>
  <cp:lastModifiedBy>Mihai Marineata</cp:lastModifiedBy>
  <cp:revision>1</cp:revision>
  <dcterms:created xsi:type="dcterms:W3CDTF">2023-08-08T08:21:00Z</dcterms:created>
  <dcterms:modified xsi:type="dcterms:W3CDTF">2023-08-08T08:21:00Z</dcterms:modified>
</cp:coreProperties>
</file>